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w:t>
      </w:r>
      <w:r w:rsidR="00BA17E6">
        <w:rPr>
          <w:rFonts w:ascii="Arial" w:hAnsi="Arial" w:cs="Arial"/>
          <w:sz w:val="16"/>
          <w:szCs w:val="16"/>
        </w:rPr>
        <w:t xml:space="preserve"> </w:t>
      </w:r>
      <w:r w:rsidR="00BD7E34">
        <w:rPr>
          <w:rFonts w:ascii="Arial" w:hAnsi="Arial" w:cs="Arial"/>
          <w:sz w:val="16"/>
          <w:szCs w:val="16"/>
        </w:rPr>
        <w:t>277</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BD7E34">
        <w:rPr>
          <w:rFonts w:ascii="Arial" w:hAnsi="Arial" w:cs="Arial"/>
          <w:bCs/>
          <w:sz w:val="16"/>
          <w:szCs w:val="16"/>
        </w:rPr>
        <w:t>449</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w:t>
      </w:r>
      <w:r w:rsidR="00BD7E34">
        <w:rPr>
          <w:rFonts w:ascii="Arial" w:hAnsi="Arial" w:cs="Arial"/>
          <w:bCs/>
          <w:sz w:val="16"/>
          <w:szCs w:val="16"/>
        </w:rPr>
        <w:t>00194-00/2015</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26194E" w:rsidRPr="0026194E">
        <w:rPr>
          <w:rFonts w:ascii="Arial" w:hAnsi="Arial" w:cs="Arial"/>
          <w:sz w:val="16"/>
          <w:szCs w:val="16"/>
        </w:rPr>
        <w:t xml:space="preserve"> </w:t>
      </w:r>
      <w:r w:rsidR="0026194E" w:rsidRPr="0026194E">
        <w:rPr>
          <w:rFonts w:ascii="Arial" w:hAnsi="Arial" w:cs="Arial"/>
          <w:bCs/>
          <w:sz w:val="16"/>
          <w:szCs w:val="16"/>
        </w:rPr>
        <w:t xml:space="preserve">aquisição de material de consumo </w:t>
      </w:r>
      <w:r w:rsidR="00BD7E34" w:rsidRPr="00BD7E34">
        <w:rPr>
          <w:rFonts w:ascii="Arial" w:hAnsi="Arial" w:cs="Arial"/>
          <w:sz w:val="16"/>
          <w:szCs w:val="16"/>
        </w:rPr>
        <w:t xml:space="preserve">odontológico (ácido fosfórico, Anestésico tópico </w:t>
      </w:r>
      <w:r w:rsidR="00BD7E34" w:rsidRPr="00BD7E34">
        <w:rPr>
          <w:rFonts w:ascii="Arial" w:hAnsi="Arial" w:cs="Arial"/>
          <w:color w:val="000000"/>
          <w:sz w:val="16"/>
          <w:szCs w:val="16"/>
          <w:shd w:val="clear" w:color="auto" w:fill="FFFFFF"/>
        </w:rPr>
        <w:t>com 20% de Benzocaína, broca de alta rotação e outros)</w:t>
      </w:r>
      <w:r w:rsidR="00BD7E34" w:rsidRPr="00BD7E34">
        <w:rPr>
          <w:rFonts w:ascii="Arial" w:hAnsi="Arial" w:cs="Arial"/>
          <w:sz w:val="16"/>
          <w:szCs w:val="16"/>
        </w:rPr>
        <w:t>, para atender as especialidades de endodontia, periodontia, odontopediatria, dentística, radiologia e atendimento de pessoas com necessidades especiais, no Centro de Especialidades Odontológicas</w:t>
      </w:r>
      <w:r w:rsidR="00E17D55" w:rsidRPr="0026194E">
        <w:rPr>
          <w:rFonts w:ascii="Arial" w:hAnsi="Arial" w:cs="Arial"/>
          <w:sz w:val="16"/>
          <w:szCs w:val="16"/>
        </w:rPr>
        <w:t>, a pedido da Secretaria de Estado da Saúde – SESAU/RO</w:t>
      </w:r>
      <w:r w:rsidR="001E380D" w:rsidRPr="0026194E">
        <w:rPr>
          <w:rFonts w:ascii="Arial" w:hAnsi="Arial" w:cs="Arial"/>
          <w:bCs/>
          <w:sz w:val="16"/>
          <w:szCs w:val="16"/>
        </w:rPr>
        <w:t>,</w:t>
      </w:r>
      <w:r w:rsidR="001E380D" w:rsidRPr="0026194E">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26194E" w:rsidRPr="0026194E">
        <w:rPr>
          <w:rFonts w:ascii="Arial" w:hAnsi="Arial" w:cs="Arial"/>
          <w:bCs/>
          <w:sz w:val="16"/>
          <w:szCs w:val="16"/>
        </w:rPr>
        <w:t>aq</w:t>
      </w:r>
      <w:r w:rsidR="00BD7E34">
        <w:rPr>
          <w:rFonts w:ascii="Arial" w:hAnsi="Arial" w:cs="Arial"/>
          <w:bCs/>
          <w:sz w:val="16"/>
          <w:szCs w:val="16"/>
        </w:rPr>
        <w:t xml:space="preserve">uisição de material de consumo </w:t>
      </w:r>
      <w:r w:rsidR="00BD7E34" w:rsidRPr="00BD7E34">
        <w:rPr>
          <w:rFonts w:ascii="Arial" w:hAnsi="Arial" w:cs="Arial"/>
          <w:sz w:val="16"/>
          <w:szCs w:val="16"/>
        </w:rPr>
        <w:t xml:space="preserve">odontológico (ácido fosfórico, Anestésico tópico </w:t>
      </w:r>
      <w:r w:rsidR="00BD7E34" w:rsidRPr="00BD7E34">
        <w:rPr>
          <w:rFonts w:ascii="Arial" w:hAnsi="Arial" w:cs="Arial"/>
          <w:color w:val="000000"/>
          <w:sz w:val="16"/>
          <w:szCs w:val="16"/>
          <w:shd w:val="clear" w:color="auto" w:fill="FFFFFF"/>
        </w:rPr>
        <w:t>com 20% de Benzocaína, broca de alta rotação e outros)</w:t>
      </w:r>
      <w:r w:rsidR="00BD7E34" w:rsidRPr="00BD7E34">
        <w:rPr>
          <w:rFonts w:ascii="Arial" w:hAnsi="Arial" w:cs="Arial"/>
          <w:sz w:val="16"/>
          <w:szCs w:val="16"/>
        </w:rPr>
        <w:t>, para atender as especialidades de endodontia, periodontia, odontopediatria, dentística, radiologia e atendimento de pessoas com necessidades especiais, no Centro de Especialidades Odontológicas</w:t>
      </w:r>
      <w:r w:rsidR="0026194E" w:rsidRPr="0026194E">
        <w:rPr>
          <w:rFonts w:ascii="Arial" w:hAnsi="Arial" w:cs="Arial"/>
          <w:sz w:val="16"/>
          <w:szCs w:val="16"/>
        </w:rPr>
        <w:t>,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a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PRAZO DE ENTREGA</w:t>
      </w:r>
      <w:r w:rsidRPr="0026194E">
        <w:rPr>
          <w:rFonts w:ascii="Arial" w:hAnsi="Arial" w:cs="Arial"/>
          <w:sz w:val="16"/>
          <w:szCs w:val="16"/>
        </w:rPr>
        <w:t xml:space="preserve">: </w:t>
      </w:r>
      <w:r w:rsidR="0026194E" w:rsidRPr="0026194E">
        <w:rPr>
          <w:rFonts w:ascii="Arial" w:hAnsi="Arial" w:cs="Arial"/>
          <w:bCs/>
          <w:sz w:val="16"/>
          <w:szCs w:val="16"/>
        </w:rPr>
        <w:t>Os materiais deverão ser entregues, no prazo máximo de até 30 (Trinta) dias corridos, a partir da data do recebimento da nota de empenho</w:t>
      </w:r>
      <w:r w:rsidR="0026194E" w:rsidRPr="0026194E">
        <w:rPr>
          <w:rFonts w:ascii="Arial" w:hAnsi="Arial" w:cs="Arial"/>
          <w:sz w:val="16"/>
          <w:szCs w:val="16"/>
        </w:rPr>
        <w:t xml:space="preserve"> </w:t>
      </w:r>
    </w:p>
    <w:p w:rsidR="0026194E" w:rsidRPr="0026194E" w:rsidRDefault="0026194E" w:rsidP="0026194E">
      <w:pPr>
        <w:pStyle w:val="PargrafodaLista"/>
        <w:rPr>
          <w:rFonts w:ascii="Arial" w:hAnsi="Arial" w:cs="Arial"/>
          <w:sz w:val="16"/>
          <w:szCs w:val="16"/>
        </w:rPr>
      </w:pPr>
    </w:p>
    <w:p w:rsidR="00BE1E6F" w:rsidRPr="0026194E" w:rsidRDefault="00BE1E6F" w:rsidP="0026194E">
      <w:pPr>
        <w:pStyle w:val="Corpodetexto3"/>
        <w:tabs>
          <w:tab w:val="left" w:pos="900"/>
        </w:tabs>
        <w:ind w:right="47"/>
        <w:rPr>
          <w:rFonts w:ascii="Arial" w:hAnsi="Arial" w:cs="Arial"/>
          <w:sz w:val="16"/>
          <w:szCs w:val="16"/>
        </w:rPr>
      </w:pPr>
    </w:p>
    <w:p w:rsidR="00BE1E6F" w:rsidRPr="00BD7E34" w:rsidRDefault="00484035" w:rsidP="00BD7E34">
      <w:pPr>
        <w:pStyle w:val="Corpodetexto3"/>
        <w:numPr>
          <w:ilvl w:val="1"/>
          <w:numId w:val="2"/>
        </w:numPr>
        <w:tabs>
          <w:tab w:val="left" w:pos="900"/>
        </w:tabs>
        <w:ind w:right="47"/>
        <w:rPr>
          <w:rFonts w:ascii="Arial" w:hAnsi="Arial" w:cs="Arial"/>
          <w:sz w:val="16"/>
          <w:szCs w:val="16"/>
        </w:rPr>
      </w:pPr>
      <w:r w:rsidRPr="00BD7E34">
        <w:rPr>
          <w:rFonts w:ascii="Arial" w:hAnsi="Arial" w:cs="Arial"/>
          <w:b/>
          <w:sz w:val="16"/>
          <w:szCs w:val="16"/>
        </w:rPr>
        <w:t>DO LOCAL DE ENTREGA:</w:t>
      </w:r>
      <w:r w:rsidR="00EA7C97" w:rsidRPr="00BD7E34">
        <w:rPr>
          <w:rFonts w:ascii="Arial" w:hAnsi="Arial" w:cs="Arial"/>
          <w:b/>
          <w:sz w:val="16"/>
          <w:szCs w:val="16"/>
        </w:rPr>
        <w:t xml:space="preserve"> </w:t>
      </w:r>
      <w:r w:rsidR="00BD7E34" w:rsidRPr="00BD7E34">
        <w:rPr>
          <w:rFonts w:ascii="Arial" w:hAnsi="Arial" w:cs="Arial"/>
          <w:sz w:val="16"/>
          <w:szCs w:val="16"/>
        </w:rPr>
        <w:t xml:space="preserve">Os materiais, objeto da presente Licitação, </w:t>
      </w:r>
      <w:r w:rsidR="00BD7E34" w:rsidRPr="00BD7E34">
        <w:rPr>
          <w:rFonts w:ascii="Arial" w:hAnsi="Arial" w:cs="Arial"/>
          <w:bCs/>
          <w:sz w:val="16"/>
          <w:szCs w:val="16"/>
        </w:rPr>
        <w:t>deverão ser entregues</w:t>
      </w:r>
      <w:r w:rsidR="00BD7E34" w:rsidRPr="00BD7E34">
        <w:rPr>
          <w:rFonts w:ascii="Arial" w:hAnsi="Arial" w:cs="Arial"/>
          <w:sz w:val="16"/>
          <w:szCs w:val="16"/>
        </w:rPr>
        <w:t xml:space="preserve"> no (s) seguinte (s) local (is): </w:t>
      </w:r>
      <w:r w:rsidR="00BD7E34" w:rsidRPr="00BD7E34">
        <w:rPr>
          <w:rFonts w:ascii="Arial" w:hAnsi="Arial" w:cs="Arial"/>
          <w:b/>
          <w:sz w:val="16"/>
          <w:szCs w:val="16"/>
        </w:rPr>
        <w:t>Almoxarifado Central da SESAU</w:t>
      </w:r>
      <w:r w:rsidR="00BD7E34" w:rsidRPr="00BD7E34">
        <w:rPr>
          <w:rFonts w:ascii="Arial" w:hAnsi="Arial" w:cs="Arial"/>
          <w:sz w:val="16"/>
          <w:szCs w:val="16"/>
        </w:rPr>
        <w:t>, sito a Av. Rio Madeira, 603 - CEP 76820-825 - Bairro Nova Porto Velho – Porto Velho / RO. Horário de recebimento das 7 horas e 30 minutos às 13 horas e 30 minutos de segunda a sexta-feira</w:t>
      </w:r>
    </w:p>
    <w:p w:rsidR="0026194E" w:rsidRDefault="0026194E" w:rsidP="0026194E">
      <w:pPr>
        <w:pStyle w:val="Corpodetexto3"/>
        <w:tabs>
          <w:tab w:val="left" w:pos="851"/>
          <w:tab w:val="left" w:pos="900"/>
        </w:tabs>
        <w:ind w:left="360" w:right="47"/>
        <w:rPr>
          <w:color w:val="FF0000"/>
          <w:sz w:val="22"/>
          <w:szCs w:val="22"/>
        </w:rPr>
      </w:pPr>
    </w:p>
    <w:p w:rsidR="00BE1E6F" w:rsidRPr="00A469BD" w:rsidRDefault="00BE1E6F"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A empresa detentora da Ata apresentará a Gerência Financeira do Órgão requisitante a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BD7E34" w:rsidRDefault="00A52760" w:rsidP="00A52760">
      <w:pPr>
        <w:pStyle w:val="Lista2"/>
        <w:ind w:left="0" w:firstLine="0"/>
        <w:jc w:val="both"/>
        <w:rPr>
          <w:b/>
          <w:bCs/>
          <w:sz w:val="16"/>
          <w:szCs w:val="16"/>
        </w:rPr>
      </w:pPr>
      <w:r w:rsidRPr="00BD7E34">
        <w:rPr>
          <w:b/>
          <w:bCs/>
          <w:color w:val="000000"/>
          <w:sz w:val="16"/>
          <w:szCs w:val="16"/>
        </w:rPr>
        <w:t xml:space="preserve">9. </w:t>
      </w:r>
      <w:r w:rsidRPr="00BD7E34">
        <w:rPr>
          <w:b/>
          <w:bCs/>
          <w:sz w:val="16"/>
          <w:szCs w:val="16"/>
        </w:rPr>
        <w:t>DAS SANÇÕES NO CASO DE INADIMPLÊNCIA E DO CANCELAMENTO DO REGISTRO DE PREÇOS</w:t>
      </w:r>
    </w:p>
    <w:p w:rsidR="00A52760" w:rsidRPr="00BD7E34" w:rsidRDefault="00A52760" w:rsidP="00A52760">
      <w:pPr>
        <w:pStyle w:val="Lista2"/>
        <w:ind w:left="0" w:firstLine="0"/>
        <w:rPr>
          <w:b/>
          <w:bCs/>
          <w:sz w:val="16"/>
          <w:szCs w:val="16"/>
        </w:rPr>
      </w:pPr>
      <w:r w:rsidRPr="00BD7E34">
        <w:rPr>
          <w:b/>
          <w:bCs/>
          <w:sz w:val="16"/>
          <w:szCs w:val="16"/>
        </w:rPr>
        <w:t xml:space="preserve"> </w:t>
      </w:r>
    </w:p>
    <w:p w:rsidR="00BD7E34" w:rsidRPr="00BD7E34" w:rsidRDefault="00BD7E34" w:rsidP="00BD7E34">
      <w:pPr>
        <w:jc w:val="both"/>
        <w:rPr>
          <w:rFonts w:ascii="Arial" w:hAnsi="Arial" w:cs="Arial"/>
          <w:sz w:val="16"/>
          <w:szCs w:val="16"/>
        </w:rPr>
      </w:pPr>
      <w:r>
        <w:rPr>
          <w:rFonts w:ascii="Arial" w:hAnsi="Arial" w:cs="Arial"/>
          <w:sz w:val="16"/>
          <w:szCs w:val="16"/>
        </w:rPr>
        <w:t xml:space="preserve">9.1 </w:t>
      </w:r>
      <w:r w:rsidRPr="00BD7E34">
        <w:rPr>
          <w:rFonts w:ascii="Arial" w:hAnsi="Arial" w:cs="Arial"/>
          <w:sz w:val="16"/>
          <w:szCs w:val="16"/>
        </w:rPr>
        <w:t>Além das penalidades previstas na Lei nº. 8.666/93, a Contratada estará sujeita as sanções previstas no art. 87, da mesma lei, pela inexecução total ou parcial do objeto, originado deste instrumento de aquisição, conforme segue:</w:t>
      </w:r>
    </w:p>
    <w:p w:rsidR="00BD7E34" w:rsidRPr="00BD7E34" w:rsidRDefault="00BD7E34" w:rsidP="00BD7E34">
      <w:pPr>
        <w:ind w:firstLine="709"/>
        <w:jc w:val="both"/>
        <w:rPr>
          <w:rFonts w:ascii="Arial" w:hAnsi="Arial" w:cs="Arial"/>
          <w:b/>
          <w:sz w:val="16"/>
          <w:szCs w:val="16"/>
        </w:rPr>
      </w:pPr>
    </w:p>
    <w:p w:rsidR="00BD7E34" w:rsidRPr="00BD7E34" w:rsidRDefault="00BD7E34" w:rsidP="00BD7E34">
      <w:pPr>
        <w:widowControl w:val="0"/>
        <w:numPr>
          <w:ilvl w:val="0"/>
          <w:numId w:val="12"/>
        </w:numPr>
        <w:tabs>
          <w:tab w:val="left" w:pos="284"/>
        </w:tabs>
        <w:autoSpaceDE w:val="0"/>
        <w:autoSpaceDN w:val="0"/>
        <w:adjustRightInd w:val="0"/>
        <w:ind w:left="0" w:firstLine="0"/>
        <w:jc w:val="both"/>
        <w:rPr>
          <w:rFonts w:ascii="Arial" w:hAnsi="Arial" w:cs="Arial"/>
          <w:b/>
          <w:sz w:val="16"/>
          <w:szCs w:val="16"/>
        </w:rPr>
      </w:pPr>
      <w:r w:rsidRPr="00BD7E34">
        <w:rPr>
          <w:rFonts w:ascii="Arial" w:hAnsi="Arial" w:cs="Arial"/>
          <w:b/>
          <w:sz w:val="16"/>
          <w:szCs w:val="16"/>
        </w:rPr>
        <w:t>Advertência</w:t>
      </w:r>
      <w:r w:rsidRPr="00BD7E34">
        <w:rPr>
          <w:rFonts w:ascii="Arial" w:hAnsi="Arial" w:cs="Arial"/>
          <w:sz w:val="16"/>
          <w:szCs w:val="16"/>
        </w:rPr>
        <w:t xml:space="preserve"> quando se tratar de infração leve, a juízo da fiscalização, no caso de descumprimento das obrigações e responsabilidades assumidas, ou ainda, no caso de outras ocorrências que possam acarretar transtornos à Administração Pública, desde que não caiba a aplicação de sanção mais grave;</w:t>
      </w:r>
    </w:p>
    <w:p w:rsidR="00BD7E34" w:rsidRPr="00BD7E34" w:rsidRDefault="00BD7E34" w:rsidP="00BD7E34">
      <w:pPr>
        <w:widowControl w:val="0"/>
        <w:tabs>
          <w:tab w:val="left" w:pos="284"/>
        </w:tabs>
        <w:autoSpaceDE w:val="0"/>
        <w:autoSpaceDN w:val="0"/>
        <w:adjustRightInd w:val="0"/>
        <w:jc w:val="both"/>
        <w:rPr>
          <w:rFonts w:ascii="Arial" w:hAnsi="Arial" w:cs="Arial"/>
          <w:b/>
          <w:sz w:val="16"/>
          <w:szCs w:val="16"/>
        </w:rPr>
      </w:pPr>
    </w:p>
    <w:p w:rsidR="00BD7E34" w:rsidRPr="00BD7E34" w:rsidRDefault="00BD7E34" w:rsidP="00BD7E34">
      <w:pPr>
        <w:widowControl w:val="0"/>
        <w:numPr>
          <w:ilvl w:val="0"/>
          <w:numId w:val="12"/>
        </w:numPr>
        <w:tabs>
          <w:tab w:val="left" w:pos="284"/>
        </w:tabs>
        <w:autoSpaceDE w:val="0"/>
        <w:autoSpaceDN w:val="0"/>
        <w:adjustRightInd w:val="0"/>
        <w:ind w:left="0" w:firstLine="0"/>
        <w:jc w:val="both"/>
        <w:rPr>
          <w:rFonts w:ascii="Arial" w:hAnsi="Arial" w:cs="Arial"/>
          <w:b/>
          <w:sz w:val="16"/>
          <w:szCs w:val="16"/>
        </w:rPr>
      </w:pPr>
      <w:r w:rsidRPr="00BD7E34">
        <w:rPr>
          <w:rFonts w:ascii="Arial" w:hAnsi="Arial" w:cs="Arial"/>
          <w:b/>
          <w:sz w:val="16"/>
          <w:szCs w:val="16"/>
        </w:rPr>
        <w:t>Multas:</w:t>
      </w:r>
    </w:p>
    <w:p w:rsidR="00BD7E34" w:rsidRPr="00BD7E34" w:rsidRDefault="00BD7E34" w:rsidP="00BD7E34">
      <w:pPr>
        <w:widowControl w:val="0"/>
        <w:tabs>
          <w:tab w:val="left" w:pos="284"/>
        </w:tabs>
        <w:autoSpaceDE w:val="0"/>
        <w:autoSpaceDN w:val="0"/>
        <w:adjustRightInd w:val="0"/>
        <w:jc w:val="both"/>
        <w:rPr>
          <w:rFonts w:ascii="Arial" w:hAnsi="Arial" w:cs="Arial"/>
          <w:b/>
          <w:sz w:val="16"/>
          <w:szCs w:val="16"/>
        </w:rPr>
      </w:pPr>
    </w:p>
    <w:p w:rsidR="00BD7E34" w:rsidRPr="00BD7E34" w:rsidRDefault="00BD7E34" w:rsidP="00BD7E34">
      <w:pPr>
        <w:numPr>
          <w:ilvl w:val="1"/>
          <w:numId w:val="13"/>
        </w:numPr>
        <w:tabs>
          <w:tab w:val="left" w:pos="284"/>
        </w:tabs>
        <w:ind w:left="284" w:hanging="142"/>
        <w:jc w:val="both"/>
        <w:rPr>
          <w:rFonts w:ascii="Arial" w:hAnsi="Arial" w:cs="Arial"/>
          <w:sz w:val="16"/>
          <w:szCs w:val="16"/>
        </w:rPr>
      </w:pPr>
      <w:r w:rsidRPr="00BD7E34">
        <w:rPr>
          <w:rFonts w:ascii="Arial" w:hAnsi="Arial" w:cs="Arial"/>
          <w:sz w:val="16"/>
          <w:szCs w:val="16"/>
        </w:rPr>
        <w:t>pela recusa em assinar a Ata de Registro de Preços, multa de 10% (dez por cento) sobre o valor da Nota de Empenho;</w:t>
      </w:r>
    </w:p>
    <w:p w:rsidR="00BD7E34" w:rsidRPr="00BD7E34" w:rsidRDefault="00BD7E34" w:rsidP="00BD7E34">
      <w:pPr>
        <w:tabs>
          <w:tab w:val="left" w:pos="284"/>
        </w:tabs>
        <w:ind w:left="284" w:hanging="142"/>
        <w:jc w:val="both"/>
        <w:rPr>
          <w:rFonts w:ascii="Arial" w:hAnsi="Arial" w:cs="Arial"/>
          <w:sz w:val="16"/>
          <w:szCs w:val="16"/>
        </w:rPr>
      </w:pPr>
    </w:p>
    <w:p w:rsidR="00BD7E34" w:rsidRPr="00BD7E34" w:rsidRDefault="00BD7E34" w:rsidP="00BD7E34">
      <w:pPr>
        <w:numPr>
          <w:ilvl w:val="1"/>
          <w:numId w:val="13"/>
        </w:numPr>
        <w:tabs>
          <w:tab w:val="left" w:pos="284"/>
        </w:tabs>
        <w:ind w:left="284" w:hanging="142"/>
        <w:jc w:val="both"/>
        <w:rPr>
          <w:rFonts w:ascii="Arial" w:hAnsi="Arial" w:cs="Arial"/>
          <w:sz w:val="16"/>
          <w:szCs w:val="16"/>
        </w:rPr>
      </w:pPr>
      <w:r w:rsidRPr="00BD7E34">
        <w:rPr>
          <w:rFonts w:ascii="Arial" w:hAnsi="Arial" w:cs="Arial"/>
          <w:sz w:val="16"/>
          <w:szCs w:val="16"/>
        </w:rPr>
        <w:t>pela recusa em retirar nota de empenho, multa de 10% (dez por cento) sobre o valor da nota de empenho;</w:t>
      </w:r>
    </w:p>
    <w:p w:rsidR="00BD7E34" w:rsidRPr="00BD7E34" w:rsidRDefault="00BD7E34" w:rsidP="00BD7E34">
      <w:pPr>
        <w:tabs>
          <w:tab w:val="left" w:pos="284"/>
        </w:tabs>
        <w:ind w:left="284" w:hanging="142"/>
        <w:jc w:val="both"/>
        <w:rPr>
          <w:rFonts w:ascii="Arial" w:hAnsi="Arial" w:cs="Arial"/>
          <w:sz w:val="16"/>
          <w:szCs w:val="16"/>
        </w:rPr>
      </w:pPr>
    </w:p>
    <w:p w:rsidR="00BD7E34" w:rsidRPr="00BD7E34" w:rsidRDefault="00BD7E34" w:rsidP="00BD7E34">
      <w:pPr>
        <w:numPr>
          <w:ilvl w:val="1"/>
          <w:numId w:val="13"/>
        </w:numPr>
        <w:tabs>
          <w:tab w:val="left" w:pos="284"/>
        </w:tabs>
        <w:ind w:left="284" w:hanging="142"/>
        <w:jc w:val="both"/>
        <w:rPr>
          <w:rFonts w:ascii="Arial" w:hAnsi="Arial" w:cs="Arial"/>
          <w:sz w:val="16"/>
          <w:szCs w:val="16"/>
        </w:rPr>
      </w:pPr>
      <w:r w:rsidRPr="00BD7E34">
        <w:rPr>
          <w:rFonts w:ascii="Arial" w:hAnsi="Arial" w:cs="Arial"/>
          <w:sz w:val="16"/>
          <w:szCs w:val="16"/>
        </w:rPr>
        <w:t>pelo retardamento na entrega do material, multa diária de 1% (um por cento) sobre o valor da Nota de Empenho. A partir do 10º dia de atraso, configurar-se-á inexecução total ou parcial do contrato, com as conseqüências daí advindas;</w:t>
      </w:r>
    </w:p>
    <w:p w:rsidR="00BD7E34" w:rsidRPr="00BD7E34" w:rsidRDefault="00BD7E34" w:rsidP="00BD7E34">
      <w:pPr>
        <w:tabs>
          <w:tab w:val="left" w:pos="284"/>
        </w:tabs>
        <w:ind w:left="284" w:hanging="142"/>
        <w:jc w:val="both"/>
        <w:rPr>
          <w:rFonts w:ascii="Arial" w:hAnsi="Arial" w:cs="Arial"/>
          <w:sz w:val="16"/>
          <w:szCs w:val="16"/>
        </w:rPr>
      </w:pPr>
    </w:p>
    <w:p w:rsidR="00BD7E34" w:rsidRPr="00BD7E34" w:rsidRDefault="00BD7E34" w:rsidP="00BD7E34">
      <w:pPr>
        <w:numPr>
          <w:ilvl w:val="1"/>
          <w:numId w:val="13"/>
        </w:numPr>
        <w:tabs>
          <w:tab w:val="left" w:pos="284"/>
        </w:tabs>
        <w:ind w:left="284" w:hanging="142"/>
        <w:jc w:val="both"/>
        <w:rPr>
          <w:rFonts w:ascii="Arial" w:hAnsi="Arial" w:cs="Arial"/>
          <w:sz w:val="16"/>
          <w:szCs w:val="16"/>
        </w:rPr>
      </w:pPr>
      <w:r w:rsidRPr="00BD7E34">
        <w:rPr>
          <w:rFonts w:ascii="Arial" w:hAnsi="Arial" w:cs="Arial"/>
          <w:sz w:val="16"/>
          <w:szCs w:val="16"/>
        </w:rPr>
        <w:t>pela inexecução parcial, multa de 10% (dez por cento) sobre o valor da Nota de Empenho;</w:t>
      </w:r>
    </w:p>
    <w:p w:rsidR="00BD7E34" w:rsidRPr="00BD7E34" w:rsidRDefault="00BD7E34" w:rsidP="00BD7E34">
      <w:pPr>
        <w:tabs>
          <w:tab w:val="left" w:pos="284"/>
        </w:tabs>
        <w:ind w:left="284" w:hanging="142"/>
        <w:jc w:val="both"/>
        <w:rPr>
          <w:rFonts w:ascii="Arial" w:hAnsi="Arial" w:cs="Arial"/>
          <w:sz w:val="16"/>
          <w:szCs w:val="16"/>
        </w:rPr>
      </w:pPr>
    </w:p>
    <w:p w:rsidR="00BD7E34" w:rsidRPr="00BD7E34" w:rsidRDefault="00BD7E34" w:rsidP="00BD7E34">
      <w:pPr>
        <w:numPr>
          <w:ilvl w:val="1"/>
          <w:numId w:val="13"/>
        </w:numPr>
        <w:tabs>
          <w:tab w:val="left" w:pos="284"/>
        </w:tabs>
        <w:ind w:left="284" w:hanging="142"/>
        <w:jc w:val="both"/>
        <w:rPr>
          <w:rFonts w:ascii="Arial" w:hAnsi="Arial" w:cs="Arial"/>
          <w:sz w:val="16"/>
          <w:szCs w:val="16"/>
        </w:rPr>
      </w:pPr>
      <w:r w:rsidRPr="00BD7E34">
        <w:rPr>
          <w:rFonts w:ascii="Arial" w:hAnsi="Arial" w:cs="Arial"/>
          <w:sz w:val="16"/>
          <w:szCs w:val="16"/>
        </w:rPr>
        <w:t>pelo descumprimento de qualquer outra cláusula, que não diga respeito diretamente à execução do objeto, multa de 0,5% (meio ponto percentual) sobre o valor da Nota de Empenho;</w:t>
      </w:r>
    </w:p>
    <w:p w:rsidR="00BD7E34" w:rsidRPr="00BD7E34" w:rsidRDefault="00BD7E34" w:rsidP="00BD7E34">
      <w:pPr>
        <w:tabs>
          <w:tab w:val="left" w:pos="284"/>
        </w:tabs>
        <w:jc w:val="both"/>
        <w:rPr>
          <w:rFonts w:ascii="Arial" w:hAnsi="Arial" w:cs="Arial"/>
          <w:sz w:val="16"/>
          <w:szCs w:val="16"/>
        </w:rPr>
      </w:pPr>
    </w:p>
    <w:p w:rsidR="00BD7E34" w:rsidRPr="00BD7E34" w:rsidRDefault="00BD7E34" w:rsidP="00BD7E34">
      <w:pPr>
        <w:tabs>
          <w:tab w:val="left" w:pos="284"/>
        </w:tabs>
        <w:jc w:val="both"/>
        <w:rPr>
          <w:rFonts w:ascii="Arial" w:hAnsi="Arial" w:cs="Arial"/>
          <w:sz w:val="16"/>
          <w:szCs w:val="16"/>
        </w:rPr>
      </w:pPr>
      <w:r w:rsidRPr="00BD7E34">
        <w:rPr>
          <w:rFonts w:ascii="Arial" w:hAnsi="Arial" w:cs="Arial"/>
          <w:sz w:val="16"/>
          <w:szCs w:val="16"/>
        </w:rPr>
        <w:t>O prazo para pagamento de multas será de 5 (cinco) dias úteis a contar da intimação da infratora, sob pena de inscrição do respectivo valor como dívida ativa, sujeitando-se a devedora ao competente processo judicial de execução.</w:t>
      </w:r>
    </w:p>
    <w:p w:rsidR="00BD7E34" w:rsidRPr="00BD7E34" w:rsidRDefault="00BD7E34" w:rsidP="00BD7E34">
      <w:pPr>
        <w:tabs>
          <w:tab w:val="left" w:pos="284"/>
        </w:tabs>
        <w:jc w:val="both"/>
        <w:rPr>
          <w:rFonts w:ascii="Arial" w:hAnsi="Arial" w:cs="Arial"/>
          <w:sz w:val="16"/>
          <w:szCs w:val="16"/>
        </w:rPr>
      </w:pPr>
    </w:p>
    <w:p w:rsidR="00BD7E34" w:rsidRPr="00BD7E34" w:rsidRDefault="00BD7E34" w:rsidP="00BD7E34">
      <w:pPr>
        <w:widowControl w:val="0"/>
        <w:numPr>
          <w:ilvl w:val="0"/>
          <w:numId w:val="12"/>
        </w:numPr>
        <w:tabs>
          <w:tab w:val="left" w:pos="284"/>
        </w:tabs>
        <w:autoSpaceDE w:val="0"/>
        <w:autoSpaceDN w:val="0"/>
        <w:adjustRightInd w:val="0"/>
        <w:ind w:left="0" w:firstLine="0"/>
        <w:jc w:val="both"/>
        <w:rPr>
          <w:rFonts w:ascii="Arial" w:hAnsi="Arial" w:cs="Arial"/>
          <w:sz w:val="16"/>
          <w:szCs w:val="16"/>
        </w:rPr>
      </w:pPr>
      <w:r w:rsidRPr="00BD7E34">
        <w:rPr>
          <w:rFonts w:ascii="Arial" w:hAnsi="Arial" w:cs="Arial"/>
          <w:b/>
          <w:sz w:val="16"/>
          <w:szCs w:val="16"/>
        </w:rPr>
        <w:t>Suspensão temporária</w:t>
      </w:r>
      <w:r w:rsidRPr="00BD7E34">
        <w:rPr>
          <w:rFonts w:ascii="Arial" w:hAnsi="Arial" w:cs="Arial"/>
          <w:sz w:val="16"/>
          <w:szCs w:val="16"/>
        </w:rPr>
        <w:t xml:space="preserve"> de participar em licitação e impedimento de contratar com a Administração, pelo </w:t>
      </w:r>
      <w:r w:rsidRPr="00BD7E34">
        <w:rPr>
          <w:rFonts w:ascii="Arial" w:hAnsi="Arial" w:cs="Arial"/>
          <w:b/>
          <w:sz w:val="16"/>
          <w:szCs w:val="16"/>
        </w:rPr>
        <w:t>prazo não superior a 05 (cinco) anos</w:t>
      </w:r>
      <w:r w:rsidRPr="00BD7E34">
        <w:rPr>
          <w:rFonts w:ascii="Arial" w:hAnsi="Arial" w:cs="Arial"/>
          <w:sz w:val="16"/>
          <w:szCs w:val="16"/>
        </w:rPr>
        <w:t>;</w:t>
      </w:r>
    </w:p>
    <w:p w:rsidR="00BD7E34" w:rsidRPr="00BD7E34" w:rsidRDefault="00BD7E34" w:rsidP="00BD7E34">
      <w:pPr>
        <w:widowControl w:val="0"/>
        <w:tabs>
          <w:tab w:val="left" w:pos="284"/>
        </w:tabs>
        <w:autoSpaceDE w:val="0"/>
        <w:autoSpaceDN w:val="0"/>
        <w:adjustRightInd w:val="0"/>
        <w:jc w:val="both"/>
        <w:rPr>
          <w:rFonts w:ascii="Arial" w:hAnsi="Arial" w:cs="Arial"/>
          <w:sz w:val="16"/>
          <w:szCs w:val="16"/>
        </w:rPr>
      </w:pPr>
    </w:p>
    <w:p w:rsidR="00BD7E34" w:rsidRPr="00BD7E34" w:rsidRDefault="00BD7E34" w:rsidP="00BD7E34">
      <w:pPr>
        <w:widowControl w:val="0"/>
        <w:numPr>
          <w:ilvl w:val="0"/>
          <w:numId w:val="12"/>
        </w:numPr>
        <w:tabs>
          <w:tab w:val="left" w:pos="284"/>
        </w:tabs>
        <w:autoSpaceDE w:val="0"/>
        <w:autoSpaceDN w:val="0"/>
        <w:adjustRightInd w:val="0"/>
        <w:ind w:left="0" w:firstLine="0"/>
        <w:jc w:val="both"/>
        <w:rPr>
          <w:rFonts w:ascii="Arial" w:hAnsi="Arial" w:cs="Arial"/>
          <w:sz w:val="16"/>
          <w:szCs w:val="16"/>
        </w:rPr>
      </w:pPr>
      <w:r w:rsidRPr="00BD7E34">
        <w:rPr>
          <w:rFonts w:ascii="Arial" w:hAnsi="Arial" w:cs="Arial"/>
          <w:b/>
          <w:sz w:val="16"/>
          <w:szCs w:val="16"/>
        </w:rPr>
        <w:t>Declaração de inidoneidade</w:t>
      </w:r>
      <w:r w:rsidRPr="00BD7E34">
        <w:rPr>
          <w:rFonts w:ascii="Arial" w:hAnsi="Arial" w:cs="Arial"/>
          <w:sz w:val="16"/>
          <w:szCs w:val="16"/>
        </w:rPr>
        <w:t xml:space="preserve"> para licitar ou contratar com a Administração Pública enquanto perdurarem os motivos que determinaram sua punição ou até que seja promovida a sua reabilitação perante a própria Autoridade que aplicou a penalidade, que será concedida sempre que o Contratado ressarcir a Administração pelos prejuízos resultantes e após decorrido o prazo da sanção aplicada com base na alínea anterior;</w:t>
      </w:r>
    </w:p>
    <w:p w:rsidR="00BD7E34" w:rsidRPr="00BD7E34" w:rsidRDefault="00BD7E34" w:rsidP="00BD7E34">
      <w:pPr>
        <w:widowControl w:val="0"/>
        <w:autoSpaceDE w:val="0"/>
        <w:autoSpaceDN w:val="0"/>
        <w:adjustRightInd w:val="0"/>
        <w:jc w:val="both"/>
        <w:rPr>
          <w:rFonts w:ascii="Arial" w:hAnsi="Arial" w:cs="Arial"/>
          <w:sz w:val="16"/>
          <w:szCs w:val="16"/>
        </w:rPr>
      </w:pPr>
    </w:p>
    <w:p w:rsidR="00BD7E34" w:rsidRDefault="00BD7E34" w:rsidP="00BD7E34">
      <w:pPr>
        <w:jc w:val="both"/>
        <w:rPr>
          <w:rFonts w:ascii="Arial" w:hAnsi="Arial" w:cs="Arial"/>
          <w:sz w:val="16"/>
          <w:szCs w:val="16"/>
        </w:rPr>
      </w:pPr>
      <w:r>
        <w:rPr>
          <w:rFonts w:ascii="Arial" w:hAnsi="Arial" w:cs="Arial"/>
          <w:sz w:val="16"/>
          <w:szCs w:val="16"/>
        </w:rPr>
        <w:t xml:space="preserve">9.2. </w:t>
      </w:r>
      <w:r w:rsidRPr="00BD7E34">
        <w:rPr>
          <w:rFonts w:ascii="Arial" w:hAnsi="Arial" w:cs="Arial"/>
          <w:sz w:val="16"/>
          <w:szCs w:val="16"/>
        </w:rPr>
        <w:t>As sanções são independentes e a aplicação de uma não exclui a das outras.</w:t>
      </w:r>
    </w:p>
    <w:p w:rsidR="00BD7E34" w:rsidRPr="00BD7E34" w:rsidRDefault="00BD7E34" w:rsidP="00BD7E34">
      <w:pPr>
        <w:jc w:val="both"/>
        <w:rPr>
          <w:rFonts w:ascii="Arial" w:hAnsi="Arial" w:cs="Arial"/>
          <w:sz w:val="16"/>
          <w:szCs w:val="16"/>
        </w:rPr>
      </w:pPr>
    </w:p>
    <w:p w:rsidR="00BD7E34" w:rsidRPr="00BD7E34" w:rsidRDefault="00BD7E34" w:rsidP="00BD7E34">
      <w:pPr>
        <w:tabs>
          <w:tab w:val="left" w:pos="1134"/>
          <w:tab w:val="left" w:pos="7088"/>
        </w:tabs>
        <w:jc w:val="both"/>
        <w:rPr>
          <w:rFonts w:ascii="Arial" w:hAnsi="Arial" w:cs="Arial"/>
          <w:sz w:val="16"/>
          <w:szCs w:val="16"/>
        </w:rPr>
      </w:pPr>
      <w:r w:rsidRPr="00BD7E34">
        <w:rPr>
          <w:rFonts w:ascii="Arial" w:hAnsi="Arial" w:cs="Arial"/>
          <w:sz w:val="16"/>
          <w:szCs w:val="16"/>
        </w:rPr>
        <w:t>9.</w:t>
      </w:r>
      <w:r>
        <w:rPr>
          <w:rFonts w:ascii="Arial" w:hAnsi="Arial" w:cs="Arial"/>
          <w:sz w:val="16"/>
          <w:szCs w:val="16"/>
        </w:rPr>
        <w:t>2</w:t>
      </w:r>
      <w:r w:rsidRPr="00BD7E34">
        <w:rPr>
          <w:rFonts w:ascii="Arial" w:hAnsi="Arial" w:cs="Arial"/>
          <w:sz w:val="16"/>
          <w:szCs w:val="16"/>
        </w:rPr>
        <w:t>.</w:t>
      </w:r>
      <w:r>
        <w:rPr>
          <w:rFonts w:ascii="Arial" w:hAnsi="Arial" w:cs="Arial"/>
          <w:sz w:val="16"/>
          <w:szCs w:val="16"/>
        </w:rPr>
        <w:t>1</w:t>
      </w:r>
      <w:r w:rsidRPr="00BD7E34">
        <w:rPr>
          <w:rFonts w:ascii="Arial" w:hAnsi="Arial" w:cs="Arial"/>
          <w:sz w:val="16"/>
          <w:szCs w:val="16"/>
        </w:rPr>
        <w:t xml:space="preserve"> Cobrança pelo Estado, por via administrativa ou judicial, de multa equivalente a 1% (um por cento) do valor estimado pelo item ofertado.</w:t>
      </w:r>
    </w:p>
    <w:p w:rsidR="00BD7E34" w:rsidRPr="00BD7E34" w:rsidRDefault="00BD7E34" w:rsidP="00BD7E34">
      <w:pPr>
        <w:tabs>
          <w:tab w:val="left" w:pos="6814"/>
        </w:tabs>
        <w:jc w:val="both"/>
        <w:rPr>
          <w:rFonts w:ascii="Arial" w:hAnsi="Arial" w:cs="Arial"/>
          <w:sz w:val="16"/>
          <w:szCs w:val="16"/>
        </w:rPr>
      </w:pPr>
    </w:p>
    <w:p w:rsidR="00BD7E34" w:rsidRPr="00BD7E34" w:rsidRDefault="00BD7E34" w:rsidP="00BD7E34">
      <w:pPr>
        <w:tabs>
          <w:tab w:val="left" w:pos="6814"/>
        </w:tabs>
        <w:jc w:val="both"/>
        <w:rPr>
          <w:rFonts w:ascii="Arial" w:hAnsi="Arial" w:cs="Arial"/>
          <w:sz w:val="16"/>
          <w:szCs w:val="16"/>
        </w:rPr>
      </w:pPr>
      <w:r>
        <w:rPr>
          <w:rFonts w:ascii="Arial" w:hAnsi="Arial" w:cs="Arial"/>
          <w:sz w:val="16"/>
          <w:szCs w:val="16"/>
        </w:rPr>
        <w:t>9.3</w:t>
      </w:r>
      <w:r w:rsidRPr="00BD7E34">
        <w:rPr>
          <w:rFonts w:ascii="Arial" w:hAnsi="Arial" w:cs="Arial"/>
          <w:sz w:val="16"/>
          <w:szCs w:val="16"/>
        </w:rPr>
        <w:t xml:space="preserve">.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BD7E34" w:rsidRPr="00BD7E34" w:rsidRDefault="00BD7E34" w:rsidP="00BD7E34">
      <w:pPr>
        <w:tabs>
          <w:tab w:val="left" w:pos="6814"/>
        </w:tabs>
        <w:jc w:val="both"/>
        <w:rPr>
          <w:rFonts w:ascii="Arial" w:hAnsi="Arial" w:cs="Arial"/>
          <w:sz w:val="16"/>
          <w:szCs w:val="16"/>
        </w:rPr>
      </w:pPr>
    </w:p>
    <w:p w:rsidR="00BD7E34" w:rsidRPr="00BD7E34" w:rsidRDefault="00BD7E34" w:rsidP="00BD7E34">
      <w:pPr>
        <w:tabs>
          <w:tab w:val="left" w:pos="6814"/>
        </w:tabs>
        <w:jc w:val="both"/>
        <w:rPr>
          <w:rFonts w:ascii="Arial" w:hAnsi="Arial" w:cs="Arial"/>
          <w:sz w:val="16"/>
          <w:szCs w:val="16"/>
        </w:rPr>
      </w:pPr>
      <w:r w:rsidRPr="00BD7E34">
        <w:rPr>
          <w:rFonts w:ascii="Arial" w:hAnsi="Arial" w:cs="Arial"/>
          <w:sz w:val="16"/>
          <w:szCs w:val="16"/>
        </w:rPr>
        <w:t>9.</w:t>
      </w:r>
      <w:r>
        <w:rPr>
          <w:rFonts w:ascii="Arial" w:hAnsi="Arial" w:cs="Arial"/>
          <w:sz w:val="16"/>
          <w:szCs w:val="16"/>
        </w:rPr>
        <w:t>4</w:t>
      </w:r>
      <w:r w:rsidRPr="00BD7E34">
        <w:rPr>
          <w:rFonts w:ascii="Arial" w:hAnsi="Arial" w:cs="Arial"/>
          <w:sz w:val="16"/>
          <w:szCs w:val="16"/>
        </w:rPr>
        <w:t>.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BD7E34" w:rsidRPr="00BD7E34" w:rsidRDefault="00BD7E34" w:rsidP="00BD7E34">
      <w:pPr>
        <w:pStyle w:val="Cabealho"/>
        <w:jc w:val="both"/>
        <w:rPr>
          <w:rFonts w:ascii="Arial" w:hAnsi="Arial" w:cs="Arial"/>
          <w:sz w:val="16"/>
          <w:szCs w:val="16"/>
        </w:rPr>
      </w:pPr>
    </w:p>
    <w:p w:rsidR="00BD7E34" w:rsidRPr="00BD7E34" w:rsidRDefault="00BD7E34" w:rsidP="00BD7E34">
      <w:pPr>
        <w:tabs>
          <w:tab w:val="left" w:pos="709"/>
        </w:tabs>
        <w:jc w:val="both"/>
        <w:rPr>
          <w:rFonts w:ascii="Arial" w:hAnsi="Arial" w:cs="Arial"/>
          <w:sz w:val="16"/>
          <w:szCs w:val="16"/>
        </w:rPr>
      </w:pPr>
      <w:r>
        <w:rPr>
          <w:rFonts w:ascii="Arial" w:hAnsi="Arial" w:cs="Arial"/>
          <w:sz w:val="16"/>
          <w:szCs w:val="16"/>
        </w:rPr>
        <w:t>9.4</w:t>
      </w:r>
      <w:r w:rsidRPr="00BD7E34">
        <w:rPr>
          <w:rFonts w:ascii="Arial" w:hAnsi="Arial" w:cs="Arial"/>
          <w:sz w:val="16"/>
          <w:szCs w:val="16"/>
        </w:rPr>
        <w:t>.1. Advertência, sempre que for constatada irregularidade de pouca gravidade, para as quais tenha a Contratada concorrida diretamente, ocorrência que será registrada no Cadastro de Fornecedores do Estado de Rondônia;</w:t>
      </w:r>
    </w:p>
    <w:p w:rsidR="00BD7E34" w:rsidRPr="00BD7E34" w:rsidRDefault="00BD7E34" w:rsidP="00BD7E34">
      <w:pPr>
        <w:tabs>
          <w:tab w:val="left" w:pos="709"/>
        </w:tabs>
        <w:jc w:val="both"/>
        <w:rPr>
          <w:rFonts w:ascii="Arial" w:hAnsi="Arial" w:cs="Arial"/>
          <w:sz w:val="16"/>
          <w:szCs w:val="16"/>
        </w:rPr>
      </w:pPr>
    </w:p>
    <w:p w:rsidR="00BD7E34" w:rsidRPr="00BD7E34" w:rsidRDefault="00BD7E34" w:rsidP="00BD7E34">
      <w:pPr>
        <w:tabs>
          <w:tab w:val="left" w:pos="709"/>
        </w:tabs>
        <w:jc w:val="both"/>
        <w:rPr>
          <w:rFonts w:ascii="Arial" w:hAnsi="Arial" w:cs="Arial"/>
          <w:sz w:val="16"/>
          <w:szCs w:val="16"/>
        </w:rPr>
      </w:pPr>
      <w:r>
        <w:rPr>
          <w:rFonts w:ascii="Arial" w:hAnsi="Arial" w:cs="Arial"/>
          <w:sz w:val="16"/>
          <w:szCs w:val="16"/>
        </w:rPr>
        <w:t>9.4</w:t>
      </w:r>
      <w:r w:rsidRPr="00BD7E34">
        <w:rPr>
          <w:rFonts w:ascii="Arial" w:hAnsi="Arial" w:cs="Arial"/>
          <w:sz w:val="16"/>
          <w:szCs w:val="16"/>
        </w:rPr>
        <w:t xml:space="preserve">.2. Multa de 0,2% (dois décimos por cento) ao dia, por atraso no fornecimento e por entrega em desacordo com as especificações estabelecidas neste Edital, até o décimo dia corrido; </w:t>
      </w:r>
    </w:p>
    <w:p w:rsidR="00BD7E34" w:rsidRPr="00BD7E34" w:rsidRDefault="00BD7E34" w:rsidP="00BD7E34">
      <w:pPr>
        <w:tabs>
          <w:tab w:val="left" w:pos="709"/>
        </w:tabs>
        <w:jc w:val="both"/>
        <w:rPr>
          <w:rFonts w:ascii="Arial" w:hAnsi="Arial" w:cs="Arial"/>
          <w:sz w:val="16"/>
          <w:szCs w:val="16"/>
        </w:rPr>
      </w:pPr>
    </w:p>
    <w:p w:rsidR="00BD7E34" w:rsidRPr="00BD7E34" w:rsidRDefault="00BD7E34" w:rsidP="00BD7E34">
      <w:pPr>
        <w:tabs>
          <w:tab w:val="left" w:pos="709"/>
        </w:tabs>
        <w:jc w:val="both"/>
        <w:rPr>
          <w:rFonts w:ascii="Arial" w:hAnsi="Arial" w:cs="Arial"/>
          <w:sz w:val="16"/>
          <w:szCs w:val="16"/>
        </w:rPr>
      </w:pPr>
      <w:r>
        <w:rPr>
          <w:rFonts w:ascii="Arial" w:hAnsi="Arial" w:cs="Arial"/>
          <w:sz w:val="16"/>
          <w:szCs w:val="16"/>
        </w:rPr>
        <w:t>9.4</w:t>
      </w:r>
      <w:r w:rsidRPr="00BD7E34">
        <w:rPr>
          <w:rFonts w:ascii="Arial" w:hAnsi="Arial" w:cs="Arial"/>
          <w:sz w:val="16"/>
          <w:szCs w:val="16"/>
        </w:rPr>
        <w:t>.3. Multa de 10% (dez por cento), na hipótese de inexecução parcial ou total de cada Nota de Empenho, calculada sobre o valor total da inadimplência ou na hipótese do não cumprimento de qualquer das obrigações assumidas;</w:t>
      </w:r>
    </w:p>
    <w:p w:rsidR="00BD7E34" w:rsidRPr="00BD7E34" w:rsidRDefault="00BD7E34" w:rsidP="00BD7E34">
      <w:pPr>
        <w:tabs>
          <w:tab w:val="left" w:pos="709"/>
        </w:tabs>
        <w:jc w:val="both"/>
        <w:rPr>
          <w:rFonts w:ascii="Arial" w:hAnsi="Arial" w:cs="Arial"/>
          <w:sz w:val="16"/>
          <w:szCs w:val="16"/>
        </w:rPr>
      </w:pPr>
    </w:p>
    <w:p w:rsidR="00BD7E34" w:rsidRPr="00BD7E34" w:rsidRDefault="00BD7E34" w:rsidP="00BD7E34">
      <w:pPr>
        <w:pStyle w:val="modelo"/>
        <w:tabs>
          <w:tab w:val="clear" w:pos="4419"/>
          <w:tab w:val="clear" w:pos="8838"/>
        </w:tabs>
        <w:suppressAutoHyphens w:val="0"/>
        <w:rPr>
          <w:sz w:val="16"/>
          <w:szCs w:val="16"/>
        </w:rPr>
      </w:pPr>
      <w:r>
        <w:rPr>
          <w:sz w:val="16"/>
          <w:szCs w:val="16"/>
        </w:rPr>
        <w:t>9.5</w:t>
      </w:r>
      <w:r w:rsidRPr="00BD7E34">
        <w:rPr>
          <w:sz w:val="16"/>
          <w:szCs w:val="16"/>
        </w:rPr>
        <w:t xml:space="preserve">. As multas serão, após regular processo administrativo, descontadas dos créditos da empresa detentora da Ata ou, se for o caso, cobrada administrativa ou judicialmente. </w:t>
      </w:r>
    </w:p>
    <w:p w:rsidR="00BD7E34" w:rsidRPr="00BD7E34" w:rsidRDefault="00BD7E34" w:rsidP="00BD7E34">
      <w:pPr>
        <w:jc w:val="both"/>
        <w:rPr>
          <w:rFonts w:ascii="Arial" w:hAnsi="Arial" w:cs="Arial"/>
          <w:sz w:val="16"/>
          <w:szCs w:val="16"/>
        </w:rPr>
      </w:pPr>
    </w:p>
    <w:p w:rsidR="00BD7E34" w:rsidRPr="00BD7E34" w:rsidRDefault="00BD7E34" w:rsidP="00BD7E34">
      <w:pPr>
        <w:pStyle w:val="modelo"/>
        <w:tabs>
          <w:tab w:val="clear" w:pos="4419"/>
          <w:tab w:val="clear" w:pos="8838"/>
        </w:tabs>
        <w:suppressAutoHyphens w:val="0"/>
        <w:rPr>
          <w:sz w:val="16"/>
          <w:szCs w:val="16"/>
        </w:rPr>
      </w:pPr>
      <w:r>
        <w:rPr>
          <w:sz w:val="16"/>
          <w:szCs w:val="16"/>
        </w:rPr>
        <w:t>9.6</w:t>
      </w:r>
      <w:r w:rsidRPr="00BD7E34">
        <w:rPr>
          <w:sz w:val="16"/>
          <w:szCs w:val="16"/>
        </w:rPr>
        <w:t>. As penalidades previstas neste item têm caráter de sanção administrativa, conseqüentemente, a sua aplicação não exime a empresa detentora da Ata da reparação das eventuais perdas e danos que seu ato venha acarretar ao Estado de Rondônia.</w:t>
      </w:r>
    </w:p>
    <w:p w:rsidR="00BD7E34" w:rsidRPr="00BD7E34" w:rsidRDefault="00BD7E34" w:rsidP="00BD7E34">
      <w:pPr>
        <w:jc w:val="both"/>
        <w:rPr>
          <w:rFonts w:ascii="Arial" w:hAnsi="Arial" w:cs="Arial"/>
          <w:sz w:val="16"/>
          <w:szCs w:val="16"/>
        </w:rPr>
      </w:pPr>
    </w:p>
    <w:p w:rsidR="00BD7E34" w:rsidRPr="00BD7E34" w:rsidRDefault="00BD7E34" w:rsidP="00BD7E34">
      <w:pPr>
        <w:pStyle w:val="modelo"/>
        <w:tabs>
          <w:tab w:val="clear" w:pos="4419"/>
          <w:tab w:val="clear" w:pos="8838"/>
        </w:tabs>
        <w:suppressAutoHyphens w:val="0"/>
        <w:rPr>
          <w:sz w:val="16"/>
          <w:szCs w:val="16"/>
        </w:rPr>
      </w:pPr>
      <w:r w:rsidRPr="00BD7E34">
        <w:rPr>
          <w:sz w:val="16"/>
          <w:szCs w:val="16"/>
        </w:rPr>
        <w:t>9</w:t>
      </w:r>
      <w:r>
        <w:rPr>
          <w:sz w:val="16"/>
          <w:szCs w:val="16"/>
        </w:rPr>
        <w:t>.7</w:t>
      </w:r>
      <w:r w:rsidRPr="00BD7E34">
        <w:rPr>
          <w:sz w:val="16"/>
          <w:szCs w:val="16"/>
        </w:rPr>
        <w:t>. As penalidades são independentes e a aplicação de uma não exclui a das demais, quando cabíveis.</w:t>
      </w:r>
    </w:p>
    <w:p w:rsidR="00BD7E34" w:rsidRPr="00BD7E34" w:rsidRDefault="00BD7E34" w:rsidP="00BD7E34">
      <w:pPr>
        <w:pStyle w:val="modelo"/>
        <w:tabs>
          <w:tab w:val="clear" w:pos="4419"/>
          <w:tab w:val="clear" w:pos="8838"/>
        </w:tabs>
        <w:suppressAutoHyphens w:val="0"/>
        <w:rPr>
          <w:sz w:val="16"/>
          <w:szCs w:val="16"/>
        </w:rPr>
      </w:pPr>
    </w:p>
    <w:p w:rsidR="00BD7E34" w:rsidRPr="00BD7E34" w:rsidRDefault="00BD7E34" w:rsidP="00BD7E34">
      <w:pPr>
        <w:pStyle w:val="Corpodetexto"/>
        <w:numPr>
          <w:ilvl w:val="1"/>
          <w:numId w:val="16"/>
        </w:numPr>
        <w:tabs>
          <w:tab w:val="left" w:pos="426"/>
        </w:tabs>
        <w:spacing w:after="0"/>
        <w:ind w:left="0" w:hanging="11"/>
        <w:jc w:val="both"/>
        <w:rPr>
          <w:rFonts w:ascii="Arial" w:hAnsi="Arial" w:cs="Arial"/>
          <w:sz w:val="16"/>
          <w:szCs w:val="16"/>
        </w:rPr>
      </w:pPr>
      <w:r w:rsidRPr="00BD7E34">
        <w:rPr>
          <w:rFonts w:ascii="Arial" w:hAnsi="Arial" w:cs="Arial"/>
          <w:sz w:val="16"/>
          <w:szCs w:val="16"/>
        </w:rPr>
        <w:t>Na hipótese de apresentar documentação inverossímil ou de cometer fraude, o licitante poderá sofrer, sem prejuízo da comunicação do ocorrido ao Ministério Público, quaisquer das sanções adiante previstas, que poderão ser aplicadas cumulativamente:</w:t>
      </w:r>
    </w:p>
    <w:p w:rsidR="00BD7E34" w:rsidRPr="00BD7E34" w:rsidRDefault="00BD7E34" w:rsidP="00BD7E34">
      <w:pPr>
        <w:jc w:val="both"/>
        <w:rPr>
          <w:rFonts w:ascii="Arial" w:hAnsi="Arial" w:cs="Arial"/>
          <w:sz w:val="16"/>
          <w:szCs w:val="16"/>
        </w:rPr>
      </w:pPr>
    </w:p>
    <w:p w:rsidR="00BD7E34" w:rsidRPr="00BD7E34" w:rsidRDefault="00BD7E34" w:rsidP="00BD7E34">
      <w:pPr>
        <w:jc w:val="both"/>
        <w:rPr>
          <w:rFonts w:ascii="Arial" w:hAnsi="Arial" w:cs="Arial"/>
          <w:sz w:val="16"/>
          <w:szCs w:val="16"/>
        </w:rPr>
      </w:pPr>
      <w:r w:rsidRPr="00BD7E34">
        <w:rPr>
          <w:rFonts w:ascii="Arial" w:hAnsi="Arial" w:cs="Arial"/>
          <w:sz w:val="16"/>
          <w:szCs w:val="16"/>
        </w:rPr>
        <w:t>9.</w:t>
      </w:r>
      <w:r>
        <w:rPr>
          <w:rFonts w:ascii="Arial" w:hAnsi="Arial" w:cs="Arial"/>
          <w:sz w:val="16"/>
          <w:szCs w:val="16"/>
        </w:rPr>
        <w:t>9</w:t>
      </w:r>
      <w:r w:rsidRPr="00BD7E34">
        <w:rPr>
          <w:rFonts w:ascii="Arial" w:hAnsi="Arial" w:cs="Arial"/>
          <w:sz w:val="16"/>
          <w:szCs w:val="16"/>
        </w:rPr>
        <w:t>. Desclassificação, se a seleção se encontrar em fase de julgamento;</w:t>
      </w:r>
    </w:p>
    <w:p w:rsidR="00BD7E34" w:rsidRPr="00BD7E34" w:rsidRDefault="00BD7E34" w:rsidP="00BD7E34">
      <w:pPr>
        <w:jc w:val="both"/>
        <w:rPr>
          <w:rFonts w:ascii="Arial" w:hAnsi="Arial" w:cs="Arial"/>
          <w:sz w:val="16"/>
          <w:szCs w:val="16"/>
        </w:rPr>
      </w:pPr>
    </w:p>
    <w:p w:rsidR="00BD7E34" w:rsidRPr="00BD7E34" w:rsidRDefault="00BD7E34" w:rsidP="00BD7E34">
      <w:pPr>
        <w:jc w:val="both"/>
        <w:rPr>
          <w:rFonts w:ascii="Arial" w:hAnsi="Arial" w:cs="Arial"/>
          <w:sz w:val="16"/>
          <w:szCs w:val="16"/>
        </w:rPr>
      </w:pPr>
      <w:r w:rsidRPr="00BD7E34">
        <w:rPr>
          <w:rFonts w:ascii="Arial" w:hAnsi="Arial" w:cs="Arial"/>
          <w:sz w:val="16"/>
          <w:szCs w:val="16"/>
        </w:rPr>
        <w:t>9.</w:t>
      </w:r>
      <w:r>
        <w:rPr>
          <w:rFonts w:ascii="Arial" w:hAnsi="Arial" w:cs="Arial"/>
          <w:sz w:val="16"/>
          <w:szCs w:val="16"/>
        </w:rPr>
        <w:t>10</w:t>
      </w:r>
      <w:r w:rsidRPr="00BD7E34">
        <w:rPr>
          <w:rFonts w:ascii="Arial" w:hAnsi="Arial" w:cs="Arial"/>
          <w:sz w:val="16"/>
          <w:szCs w:val="16"/>
        </w:rPr>
        <w:t>. Cancelamento do preço registrado, procedendo-se à paralisação do fornecimento.</w:t>
      </w:r>
    </w:p>
    <w:p w:rsidR="00BD7E34" w:rsidRPr="00BD7E34" w:rsidRDefault="00BD7E34" w:rsidP="00BD7E34">
      <w:pPr>
        <w:pStyle w:val="Lista2"/>
        <w:ind w:left="0" w:firstLine="0"/>
        <w:jc w:val="both"/>
        <w:rPr>
          <w:sz w:val="16"/>
          <w:szCs w:val="16"/>
        </w:rPr>
      </w:pPr>
    </w:p>
    <w:p w:rsidR="00BD7E34" w:rsidRPr="00BD7E34" w:rsidRDefault="00BD7E34" w:rsidP="00BD7E34">
      <w:pPr>
        <w:pStyle w:val="Lista3"/>
        <w:ind w:left="0" w:firstLine="0"/>
        <w:jc w:val="both"/>
        <w:rPr>
          <w:sz w:val="16"/>
          <w:szCs w:val="16"/>
        </w:rPr>
      </w:pPr>
      <w:r w:rsidRPr="00BD7E34">
        <w:rPr>
          <w:sz w:val="16"/>
          <w:szCs w:val="16"/>
        </w:rPr>
        <w:t>9.</w:t>
      </w:r>
      <w:r>
        <w:rPr>
          <w:sz w:val="16"/>
          <w:szCs w:val="16"/>
        </w:rPr>
        <w:t>11</w:t>
      </w:r>
      <w:r w:rsidRPr="00BD7E34">
        <w:rPr>
          <w:sz w:val="16"/>
          <w:szCs w:val="16"/>
        </w:rPr>
        <w:t>. O preço registrado poderá ser cancelado pela Administração Pública, nos termos do Artigo 24 e 25 do Decreto 18.340/13, quando:</w:t>
      </w:r>
    </w:p>
    <w:p w:rsidR="00BD7E34" w:rsidRPr="00BD7E34" w:rsidRDefault="00BD7E34" w:rsidP="00BD7E34">
      <w:pPr>
        <w:pStyle w:val="Lista3"/>
        <w:ind w:left="0" w:firstLine="0"/>
        <w:jc w:val="both"/>
        <w:rPr>
          <w:sz w:val="16"/>
          <w:szCs w:val="16"/>
        </w:rPr>
      </w:pPr>
    </w:p>
    <w:p w:rsidR="00BD7E34" w:rsidRPr="00BD7E34" w:rsidRDefault="00BD7E34" w:rsidP="00BD7E34">
      <w:pPr>
        <w:pStyle w:val="Lista3"/>
        <w:ind w:left="0" w:firstLine="0"/>
        <w:jc w:val="both"/>
        <w:rPr>
          <w:sz w:val="16"/>
          <w:szCs w:val="16"/>
        </w:rPr>
      </w:pPr>
      <w:r>
        <w:rPr>
          <w:sz w:val="16"/>
          <w:szCs w:val="16"/>
        </w:rPr>
        <w:t>9.11</w:t>
      </w:r>
      <w:r w:rsidRPr="00BD7E34">
        <w:rPr>
          <w:sz w:val="16"/>
          <w:szCs w:val="16"/>
        </w:rPr>
        <w:t>.1. A Detentora do Registro deixar de cumprir total ou parcial as condições da Ata de Registro de Preços.</w:t>
      </w:r>
    </w:p>
    <w:p w:rsidR="00BD7E34" w:rsidRPr="00BD7E34" w:rsidRDefault="00BD7E34" w:rsidP="00BD7E34">
      <w:pPr>
        <w:pStyle w:val="Lista3"/>
        <w:ind w:left="0" w:firstLine="0"/>
        <w:jc w:val="both"/>
        <w:rPr>
          <w:sz w:val="16"/>
          <w:szCs w:val="16"/>
        </w:rPr>
      </w:pPr>
    </w:p>
    <w:p w:rsidR="00BD7E34" w:rsidRPr="00BD7E34" w:rsidRDefault="00BD7E34" w:rsidP="00BD7E34">
      <w:pPr>
        <w:pStyle w:val="PargrafodaLista"/>
        <w:numPr>
          <w:ilvl w:val="0"/>
          <w:numId w:val="15"/>
        </w:numPr>
        <w:jc w:val="both"/>
        <w:rPr>
          <w:rFonts w:ascii="Arial" w:hAnsi="Arial" w:cs="Arial"/>
          <w:vanish/>
          <w:sz w:val="16"/>
          <w:szCs w:val="16"/>
        </w:rPr>
      </w:pPr>
    </w:p>
    <w:p w:rsidR="00BD7E34" w:rsidRPr="00BD7E34" w:rsidRDefault="00BD7E34" w:rsidP="00BD7E34">
      <w:pPr>
        <w:pStyle w:val="PargrafodaLista"/>
        <w:numPr>
          <w:ilvl w:val="0"/>
          <w:numId w:val="15"/>
        </w:numPr>
        <w:jc w:val="both"/>
        <w:rPr>
          <w:rFonts w:ascii="Arial" w:hAnsi="Arial" w:cs="Arial"/>
          <w:vanish/>
          <w:sz w:val="16"/>
          <w:szCs w:val="16"/>
        </w:rPr>
      </w:pPr>
    </w:p>
    <w:p w:rsidR="00BD7E34" w:rsidRPr="00BD7E34" w:rsidRDefault="00BD7E34" w:rsidP="00BD7E34">
      <w:pPr>
        <w:pStyle w:val="PargrafodaLista"/>
        <w:numPr>
          <w:ilvl w:val="0"/>
          <w:numId w:val="15"/>
        </w:numPr>
        <w:jc w:val="both"/>
        <w:rPr>
          <w:rFonts w:ascii="Arial" w:hAnsi="Arial" w:cs="Arial"/>
          <w:vanish/>
          <w:sz w:val="16"/>
          <w:szCs w:val="16"/>
        </w:rPr>
      </w:pPr>
    </w:p>
    <w:p w:rsidR="00BD7E34" w:rsidRPr="00BD7E34" w:rsidRDefault="00BD7E34" w:rsidP="00BD7E34">
      <w:pPr>
        <w:pStyle w:val="PargrafodaLista"/>
        <w:numPr>
          <w:ilvl w:val="1"/>
          <w:numId w:val="15"/>
        </w:numPr>
        <w:jc w:val="both"/>
        <w:rPr>
          <w:rFonts w:ascii="Arial" w:hAnsi="Arial" w:cs="Arial"/>
          <w:vanish/>
          <w:sz w:val="16"/>
          <w:szCs w:val="16"/>
        </w:rPr>
      </w:pPr>
    </w:p>
    <w:p w:rsidR="00BD7E34" w:rsidRPr="00BD7E34" w:rsidRDefault="00BD7E34" w:rsidP="00BD7E34">
      <w:pPr>
        <w:pStyle w:val="Lista3"/>
        <w:numPr>
          <w:ilvl w:val="2"/>
          <w:numId w:val="17"/>
        </w:numPr>
        <w:ind w:left="0" w:hanging="11"/>
        <w:contextualSpacing/>
        <w:jc w:val="both"/>
        <w:rPr>
          <w:sz w:val="16"/>
          <w:szCs w:val="16"/>
        </w:rPr>
      </w:pPr>
      <w:r w:rsidRPr="00BD7E34">
        <w:rPr>
          <w:sz w:val="16"/>
          <w:szCs w:val="16"/>
        </w:rPr>
        <w:t>A Detentora do Registro não retirar a nota de empenho ou instrumento equivalente no prazo estabelecido, sem justificativa aceita pela Administração;</w:t>
      </w:r>
    </w:p>
    <w:p w:rsidR="00BD7E34" w:rsidRPr="00BD7E34" w:rsidRDefault="00BD7E34" w:rsidP="00BD7E34">
      <w:pPr>
        <w:pStyle w:val="Lista3"/>
        <w:ind w:left="0" w:firstLine="0"/>
        <w:jc w:val="both"/>
        <w:rPr>
          <w:sz w:val="16"/>
          <w:szCs w:val="16"/>
        </w:rPr>
      </w:pPr>
    </w:p>
    <w:p w:rsidR="00BD7E34" w:rsidRPr="00BD7E34" w:rsidRDefault="00BD7E34" w:rsidP="00BD7E34">
      <w:pPr>
        <w:pStyle w:val="Lista3"/>
        <w:numPr>
          <w:ilvl w:val="2"/>
          <w:numId w:val="17"/>
        </w:numPr>
        <w:ind w:left="0" w:firstLine="0"/>
        <w:contextualSpacing/>
        <w:jc w:val="both"/>
        <w:rPr>
          <w:sz w:val="16"/>
          <w:szCs w:val="16"/>
        </w:rPr>
      </w:pPr>
      <w:r w:rsidRPr="00BD7E34">
        <w:rPr>
          <w:sz w:val="16"/>
          <w:szCs w:val="16"/>
        </w:rPr>
        <w:t>A detentora incorrer reiteradamente em infrações previstas no Edital;</w:t>
      </w:r>
    </w:p>
    <w:p w:rsidR="00BD7E34" w:rsidRPr="00BD7E34" w:rsidRDefault="00BD7E34" w:rsidP="00BD7E34">
      <w:pPr>
        <w:pStyle w:val="PargrafodaLista"/>
        <w:rPr>
          <w:rFonts w:ascii="Arial" w:hAnsi="Arial" w:cs="Arial"/>
          <w:sz w:val="16"/>
          <w:szCs w:val="16"/>
        </w:rPr>
      </w:pPr>
    </w:p>
    <w:p w:rsidR="00BD7E34" w:rsidRPr="00BD7E34" w:rsidRDefault="00BD7E34" w:rsidP="00BD7E34">
      <w:pPr>
        <w:pStyle w:val="Lista3"/>
        <w:numPr>
          <w:ilvl w:val="2"/>
          <w:numId w:val="17"/>
        </w:numPr>
        <w:ind w:left="0" w:firstLine="0"/>
        <w:contextualSpacing/>
        <w:jc w:val="both"/>
        <w:rPr>
          <w:sz w:val="16"/>
          <w:szCs w:val="16"/>
        </w:rPr>
      </w:pPr>
      <w:r w:rsidRPr="00BD7E34">
        <w:rPr>
          <w:sz w:val="16"/>
          <w:szCs w:val="16"/>
        </w:rPr>
        <w:t>A Detentora do Registro que praticar atos fraudulentos no intuito de auferir vantagem ilícita;</w:t>
      </w:r>
    </w:p>
    <w:p w:rsidR="00BD7E34" w:rsidRPr="00BD7E34" w:rsidRDefault="00BD7E34" w:rsidP="00BD7E34">
      <w:pPr>
        <w:pStyle w:val="Lista3"/>
        <w:ind w:left="0" w:firstLine="0"/>
        <w:jc w:val="both"/>
        <w:rPr>
          <w:sz w:val="16"/>
          <w:szCs w:val="16"/>
        </w:rPr>
      </w:pPr>
    </w:p>
    <w:p w:rsidR="00BD7E34" w:rsidRPr="00BD7E34" w:rsidRDefault="00BD7E34" w:rsidP="00BD7E34">
      <w:pPr>
        <w:pStyle w:val="Lista3"/>
        <w:numPr>
          <w:ilvl w:val="2"/>
          <w:numId w:val="17"/>
        </w:numPr>
        <w:ind w:left="0" w:firstLine="0"/>
        <w:jc w:val="both"/>
        <w:rPr>
          <w:sz w:val="16"/>
          <w:szCs w:val="16"/>
        </w:rPr>
      </w:pPr>
      <w:r w:rsidRPr="00BD7E34">
        <w:rPr>
          <w:sz w:val="16"/>
          <w:szCs w:val="16"/>
        </w:rPr>
        <w:t>Não aceitar reduzir o seu preço registrado, na hipótese deste se tornar superior aqueles praticados no mercador ou sofrer sanção prevista nos incisos III ou IV do caput do artigo 87 da Lei 8.666/93 ou no artigo 7º da Lei 10.520/02.</w:t>
      </w:r>
    </w:p>
    <w:p w:rsidR="00BD7E34" w:rsidRPr="00BD7E34" w:rsidRDefault="00BD7E34" w:rsidP="00BD7E34">
      <w:pPr>
        <w:pStyle w:val="Lista3"/>
        <w:ind w:left="0" w:firstLine="0"/>
        <w:jc w:val="both"/>
        <w:rPr>
          <w:sz w:val="16"/>
          <w:szCs w:val="16"/>
        </w:rPr>
      </w:pPr>
    </w:p>
    <w:p w:rsidR="00BD7E34" w:rsidRPr="00BD7E34" w:rsidRDefault="00BD7E34" w:rsidP="00BD7E34">
      <w:pPr>
        <w:pStyle w:val="Lista3"/>
        <w:numPr>
          <w:ilvl w:val="2"/>
          <w:numId w:val="17"/>
        </w:numPr>
        <w:ind w:left="0" w:firstLine="0"/>
        <w:jc w:val="both"/>
        <w:rPr>
          <w:sz w:val="16"/>
          <w:szCs w:val="16"/>
        </w:rPr>
      </w:pPr>
      <w:r w:rsidRPr="00BD7E34">
        <w:rPr>
          <w:sz w:val="16"/>
          <w:szCs w:val="16"/>
        </w:rPr>
        <w:t>Por razões de interesse público, mediante despacho motivado, devidamente justificado.</w:t>
      </w:r>
    </w:p>
    <w:p w:rsidR="00BD7E34" w:rsidRPr="00BD7E34" w:rsidRDefault="00BD7E34" w:rsidP="00BD7E34">
      <w:pPr>
        <w:jc w:val="both"/>
        <w:rPr>
          <w:rFonts w:ascii="Arial" w:hAnsi="Arial" w:cs="Arial"/>
          <w:sz w:val="16"/>
          <w:szCs w:val="16"/>
        </w:rPr>
      </w:pPr>
    </w:p>
    <w:p w:rsidR="00BD7E34" w:rsidRPr="00BD7E34" w:rsidRDefault="00BD7E34" w:rsidP="00BD7E34">
      <w:pPr>
        <w:pStyle w:val="Lista4"/>
        <w:numPr>
          <w:ilvl w:val="2"/>
          <w:numId w:val="17"/>
        </w:numPr>
        <w:ind w:left="0" w:firstLine="0"/>
        <w:jc w:val="both"/>
        <w:rPr>
          <w:sz w:val="16"/>
          <w:szCs w:val="16"/>
        </w:rPr>
      </w:pPr>
      <w:r w:rsidRPr="00BD7E34">
        <w:rPr>
          <w:sz w:val="16"/>
          <w:szCs w:val="16"/>
        </w:rPr>
        <w:t xml:space="preserve">O cancelamento do registro </w:t>
      </w:r>
      <w:r>
        <w:rPr>
          <w:sz w:val="16"/>
          <w:szCs w:val="16"/>
        </w:rPr>
        <w:t>nas hipóteses nos sub itens 9.11</w:t>
      </w:r>
      <w:r w:rsidRPr="00BD7E34">
        <w:rPr>
          <w:sz w:val="16"/>
          <w:szCs w:val="16"/>
        </w:rPr>
        <w:t>.1, 9.1</w:t>
      </w:r>
      <w:r>
        <w:rPr>
          <w:sz w:val="16"/>
          <w:szCs w:val="16"/>
        </w:rPr>
        <w:t>1</w:t>
      </w:r>
      <w:r w:rsidRPr="00BD7E34">
        <w:rPr>
          <w:sz w:val="16"/>
          <w:szCs w:val="16"/>
        </w:rPr>
        <w:t>.2, 9.1</w:t>
      </w:r>
      <w:r>
        <w:rPr>
          <w:sz w:val="16"/>
          <w:szCs w:val="16"/>
        </w:rPr>
        <w:t>1</w:t>
      </w:r>
      <w:r w:rsidRPr="00BD7E34">
        <w:rPr>
          <w:sz w:val="16"/>
          <w:szCs w:val="16"/>
        </w:rPr>
        <w:t>.5 será formalizado por despacho do órgão gerenciador, assegurado o contraditório e a ampla defesa.</w:t>
      </w:r>
    </w:p>
    <w:p w:rsidR="00BD7E34" w:rsidRPr="00BD7E34" w:rsidRDefault="00BD7E34" w:rsidP="00BD7E34">
      <w:pPr>
        <w:pStyle w:val="Lista4"/>
        <w:ind w:left="0" w:firstLine="0"/>
        <w:jc w:val="both"/>
        <w:rPr>
          <w:sz w:val="16"/>
          <w:szCs w:val="16"/>
        </w:rPr>
      </w:pPr>
    </w:p>
    <w:p w:rsidR="00BD7E34" w:rsidRPr="00BD7E34" w:rsidRDefault="00BD7E34" w:rsidP="00BD7E34">
      <w:pPr>
        <w:pStyle w:val="Lista4"/>
        <w:numPr>
          <w:ilvl w:val="2"/>
          <w:numId w:val="17"/>
        </w:numPr>
        <w:ind w:left="0" w:firstLine="0"/>
        <w:jc w:val="both"/>
        <w:rPr>
          <w:sz w:val="16"/>
          <w:szCs w:val="16"/>
        </w:rPr>
      </w:pPr>
      <w:r w:rsidRPr="00BD7E34">
        <w:rPr>
          <w:sz w:val="16"/>
          <w:szCs w:val="16"/>
        </w:rPr>
        <w:t>O cancelamento do registro nas hipóteses dos sub itens 9.1</w:t>
      </w:r>
      <w:r>
        <w:rPr>
          <w:sz w:val="16"/>
          <w:szCs w:val="16"/>
        </w:rPr>
        <w:t>1</w:t>
      </w:r>
      <w:r w:rsidRPr="00BD7E34">
        <w:rPr>
          <w:sz w:val="16"/>
          <w:szCs w:val="16"/>
        </w:rPr>
        <w:t>.1 e 9.1</w:t>
      </w:r>
      <w:r>
        <w:rPr>
          <w:sz w:val="16"/>
          <w:szCs w:val="16"/>
        </w:rPr>
        <w:t>1</w:t>
      </w:r>
      <w:r w:rsidRPr="00BD7E34">
        <w:rPr>
          <w:sz w:val="16"/>
          <w:szCs w:val="16"/>
        </w:rPr>
        <w:t>.2 acarretará ainda a aplicação das penalidades cabíveis, assegurado o contraditório e a ampla defesa.</w:t>
      </w:r>
    </w:p>
    <w:p w:rsidR="00BD7E34" w:rsidRPr="00BD7E34" w:rsidRDefault="00BD7E34" w:rsidP="00BD7E34">
      <w:pPr>
        <w:pStyle w:val="PargrafodaLista"/>
        <w:rPr>
          <w:rFonts w:ascii="Arial" w:hAnsi="Arial" w:cs="Arial"/>
          <w:sz w:val="16"/>
          <w:szCs w:val="16"/>
        </w:rPr>
      </w:pPr>
    </w:p>
    <w:p w:rsidR="00BD7E34" w:rsidRPr="00BD7E34" w:rsidRDefault="00BD7E34" w:rsidP="00BD7E34">
      <w:pPr>
        <w:pStyle w:val="Lista4"/>
        <w:numPr>
          <w:ilvl w:val="2"/>
          <w:numId w:val="17"/>
        </w:numPr>
        <w:ind w:left="0" w:firstLine="0"/>
        <w:jc w:val="both"/>
        <w:rPr>
          <w:sz w:val="16"/>
          <w:szCs w:val="16"/>
        </w:rPr>
      </w:pPr>
      <w:r w:rsidRPr="00BD7E34">
        <w:rPr>
          <w:sz w:val="16"/>
          <w:szCs w:val="16"/>
        </w:rPr>
        <w:t>O cancelamento do registro de preços poderá ocorrer por fato superveniente, decorrente de caso fortuito ou força maior, que prejudique o cumprimento da ata, devidamente comprovados e justificados:</w:t>
      </w:r>
    </w:p>
    <w:p w:rsidR="00BD7E34" w:rsidRPr="00BD7E34" w:rsidRDefault="00BD7E34" w:rsidP="00BD7E34">
      <w:pPr>
        <w:pStyle w:val="Lista4"/>
        <w:ind w:left="0" w:firstLine="0"/>
        <w:jc w:val="both"/>
        <w:rPr>
          <w:sz w:val="16"/>
          <w:szCs w:val="16"/>
        </w:rPr>
      </w:pPr>
    </w:p>
    <w:p w:rsidR="00BD7E34" w:rsidRPr="00BD7E34" w:rsidRDefault="00BD7E34" w:rsidP="00BD7E34">
      <w:pPr>
        <w:pStyle w:val="Lista4"/>
        <w:ind w:left="0" w:firstLine="0"/>
        <w:jc w:val="both"/>
        <w:rPr>
          <w:sz w:val="16"/>
          <w:szCs w:val="16"/>
        </w:rPr>
      </w:pPr>
      <w:r>
        <w:rPr>
          <w:sz w:val="16"/>
          <w:szCs w:val="16"/>
        </w:rPr>
        <w:t>9.11</w:t>
      </w:r>
      <w:r w:rsidRPr="00BD7E34">
        <w:rPr>
          <w:sz w:val="16"/>
          <w:szCs w:val="16"/>
        </w:rPr>
        <w:t>.9.1. Por razões de interesse público ou a pedido do fornecedor.</w:t>
      </w:r>
    </w:p>
    <w:p w:rsidR="00BD7E34" w:rsidRPr="00BD7E34" w:rsidRDefault="00BD7E34" w:rsidP="00BD7E34">
      <w:pPr>
        <w:jc w:val="both"/>
        <w:rPr>
          <w:rFonts w:ascii="Arial" w:hAnsi="Arial" w:cs="Arial"/>
          <w:sz w:val="16"/>
          <w:szCs w:val="16"/>
        </w:rPr>
      </w:pPr>
    </w:p>
    <w:p w:rsidR="0030378A" w:rsidRPr="00BD7E34" w:rsidRDefault="0030378A" w:rsidP="00420EA6">
      <w:pPr>
        <w:pStyle w:val="Lista4"/>
        <w:ind w:left="0" w:firstLine="0"/>
        <w:jc w:val="both"/>
        <w:rPr>
          <w:color w:val="000000"/>
          <w:sz w:val="16"/>
          <w:szCs w:val="16"/>
        </w:rPr>
      </w:pPr>
    </w:p>
    <w:p w:rsidR="009D2314" w:rsidRPr="00BD7E34" w:rsidRDefault="009D2314" w:rsidP="00BD7E34">
      <w:pPr>
        <w:pStyle w:val="PargrafodaLista"/>
        <w:numPr>
          <w:ilvl w:val="0"/>
          <w:numId w:val="17"/>
        </w:numPr>
        <w:ind w:left="426" w:hanging="426"/>
        <w:jc w:val="both"/>
        <w:rPr>
          <w:rFonts w:ascii="Arial" w:hAnsi="Arial" w:cs="Arial"/>
          <w:b/>
          <w:bCs/>
          <w:color w:val="000000"/>
          <w:sz w:val="16"/>
          <w:szCs w:val="16"/>
        </w:rPr>
      </w:pPr>
      <w:r w:rsidRPr="00BD7E34">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w:t>
      </w:r>
      <w:r w:rsidR="00BA17E6">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BA17E6">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BA17E6"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BA17E6"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BD7E34"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0558E3"/>
    <w:multiLevelType w:val="multilevel"/>
    <w:tmpl w:val="910E2AFC"/>
    <w:lvl w:ilvl="0">
      <w:start w:val="9"/>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CD5471"/>
    <w:multiLevelType w:val="multilevel"/>
    <w:tmpl w:val="96804BFA"/>
    <w:lvl w:ilvl="0">
      <w:start w:val="7"/>
      <w:numFmt w:val="decimal"/>
      <w:lvlText w:val="%1."/>
      <w:lvlJc w:val="left"/>
      <w:pPr>
        <w:ind w:left="720" w:hanging="360"/>
      </w:pPr>
      <w:rPr>
        <w:rFonts w:hint="default"/>
      </w:rPr>
    </w:lvl>
    <w:lvl w:ilvl="1">
      <w:start w:val="10"/>
      <w:numFmt w:val="decimal"/>
      <w:isLgl/>
      <w:lvlText w:val="%1.%2."/>
      <w:lvlJc w:val="left"/>
      <w:pPr>
        <w:ind w:left="1050" w:hanging="6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EA2AD1"/>
    <w:multiLevelType w:val="multilevel"/>
    <w:tmpl w:val="BA3AE630"/>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668676B"/>
    <w:multiLevelType w:val="multilevel"/>
    <w:tmpl w:val="99700092"/>
    <w:lvl w:ilvl="0">
      <w:start w:val="9"/>
      <w:numFmt w:val="decimal"/>
      <w:lvlText w:val="%1."/>
      <w:lvlJc w:val="left"/>
      <w:pPr>
        <w:ind w:left="495" w:hanging="495"/>
      </w:pPr>
      <w:rPr>
        <w:rFonts w:hint="default"/>
      </w:rPr>
    </w:lvl>
    <w:lvl w:ilvl="1">
      <w:start w:val="11"/>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4EC47AB"/>
    <w:multiLevelType w:val="hybridMultilevel"/>
    <w:tmpl w:val="9B12749A"/>
    <w:lvl w:ilvl="0" w:tplc="A54E4E9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24C2574"/>
    <w:multiLevelType w:val="hybridMultilevel"/>
    <w:tmpl w:val="A6F2FDBC"/>
    <w:lvl w:ilvl="0" w:tplc="0416001B">
      <w:start w:val="1"/>
      <w:numFmt w:val="lowerRoman"/>
      <w:lvlText w:val="%1."/>
      <w:lvlJc w:val="right"/>
      <w:pPr>
        <w:tabs>
          <w:tab w:val="num" w:pos="720"/>
        </w:tabs>
        <w:ind w:left="720" w:hanging="360"/>
      </w:pPr>
    </w:lvl>
    <w:lvl w:ilvl="1" w:tplc="0416001B">
      <w:start w:val="1"/>
      <w:numFmt w:val="lowerRoman"/>
      <w:lvlText w:val="%2."/>
      <w:lvlJc w:val="right"/>
      <w:pPr>
        <w:tabs>
          <w:tab w:val="num" w:pos="360"/>
        </w:tabs>
        <w:ind w:left="360" w:hanging="360"/>
      </w:pPr>
      <w:rPr>
        <w:rFonts w:hint="default"/>
      </w:rPr>
    </w:lvl>
    <w:lvl w:ilvl="2" w:tplc="A8C2AC28">
      <w:start w:val="1"/>
      <w:numFmt w:val="lowerLetter"/>
      <w:lvlText w:val="%3)"/>
      <w:lvlJc w:val="left"/>
      <w:pPr>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1"/>
  </w:num>
  <w:num w:numId="3">
    <w:abstractNumId w:val="5"/>
  </w:num>
  <w:num w:numId="4">
    <w:abstractNumId w:val="4"/>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17"/>
  </w:num>
  <w:num w:numId="10">
    <w:abstractNumId w:val="2"/>
  </w:num>
  <w:num w:numId="11">
    <w:abstractNumId w:val="14"/>
  </w:num>
  <w:num w:numId="12">
    <w:abstractNumId w:val="12"/>
  </w:num>
  <w:num w:numId="13">
    <w:abstractNumId w:val="16"/>
  </w:num>
  <w:num w:numId="14">
    <w:abstractNumId w:val="3"/>
  </w:num>
  <w:num w:numId="15">
    <w:abstractNumId w:val="6"/>
  </w:num>
  <w:num w:numId="16">
    <w:abstractNumId w:val="8"/>
  </w:num>
  <w:num w:numId="17">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5B82"/>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7002"/>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7C1"/>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7E6"/>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D7E34"/>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1,Heading 1a Char1,encabezado Char,Header Char Char Char,hd Char1,Cabeçalho Char1,he Char1,he Char Char,Header Char Char1,Char Char Char Char Char Char Char Char,Char1 Char,Char1 Char Char Char1"/>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72"/>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2950</Words>
  <Characters>16528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2016-10-31T12:52:00Z</cp:lastPrinted>
  <dcterms:created xsi:type="dcterms:W3CDTF">2016-10-27T11:47:00Z</dcterms:created>
  <dcterms:modified xsi:type="dcterms:W3CDTF">2016-10-31T12:52:00Z</dcterms:modified>
</cp:coreProperties>
</file>